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0DE4">
      <w:pPr>
        <w:keepNext w:val="0"/>
        <w:keepLines w:val="0"/>
        <w:pageBreakBefore w:val="0"/>
        <w:widowControl w:val="0"/>
        <w:tabs>
          <w:tab w:val="left" w:pos="45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4" w:line="400" w:lineRule="exact"/>
        <w:jc w:val="center"/>
        <w:textAlignment w:val="auto"/>
        <w:outlineLvl w:val="0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济宁城投控股集团有限公司中期票据</w:t>
      </w:r>
    </w:p>
    <w:p w14:paraId="67D259C6">
      <w:pPr>
        <w:keepNext w:val="0"/>
        <w:keepLines w:val="0"/>
        <w:pageBreakBefore w:val="0"/>
        <w:widowControl w:val="0"/>
        <w:tabs>
          <w:tab w:val="left" w:pos="45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4" w:line="400" w:lineRule="exact"/>
        <w:jc w:val="center"/>
        <w:textAlignment w:val="auto"/>
        <w:outlineLvl w:val="0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  <w:t>主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承销商采购项目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  <w:t>招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  <w:t>标公告</w:t>
      </w:r>
    </w:p>
    <w:p w14:paraId="085E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本招标项目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济宁城投控股集团有限公司中期票据</w:t>
      </w:r>
      <w:r>
        <w:rPr>
          <w:rFonts w:hint="eastAsia" w:ascii="宋体" w:hAnsi="宋体" w:cs="宋体"/>
          <w:sz w:val="24"/>
          <w:szCs w:val="24"/>
        </w:rPr>
        <w:t>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承销商采购项目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(项目名称)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资金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来源自筹资金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，招标人为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济宁城投控股集团有限公司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。项目已具备招标条件，现对该项目进行公开招标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。</w:t>
      </w:r>
    </w:p>
    <w:p w14:paraId="1D97B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一、项目基本情况</w:t>
      </w:r>
    </w:p>
    <w:p w14:paraId="1360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1、项目编号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：SZZH-2024-G0036</w:t>
      </w:r>
    </w:p>
    <w:p w14:paraId="7476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济宁城投控股集团有限公司中期票据</w:t>
      </w:r>
      <w:r>
        <w:rPr>
          <w:rFonts w:hint="eastAsia" w:ascii="宋体" w:hAnsi="宋体" w:cs="宋体"/>
          <w:sz w:val="24"/>
          <w:szCs w:val="24"/>
        </w:rPr>
        <w:t>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承销商采购项目</w:t>
      </w:r>
    </w:p>
    <w:p w14:paraId="4935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3、采购方式：公开招标</w:t>
      </w:r>
    </w:p>
    <w:p w14:paraId="1041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4、资金来源：自筹资金</w:t>
      </w:r>
    </w:p>
    <w:p w14:paraId="3DC6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5、采购需求：本项目为济宁城投控股集团有限公司中期票据主承销商采购项目，具体项目情况详见第三章项目说明和服务要求。</w:t>
      </w:r>
    </w:p>
    <w:p w14:paraId="099A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6、包组划分：1个包组。 </w:t>
      </w:r>
    </w:p>
    <w:p w14:paraId="68EF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7、债券期限：不超过10年（含10年）。</w:t>
      </w:r>
    </w:p>
    <w:p w14:paraId="5ADD926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二、投标人的资格要求</w:t>
      </w:r>
    </w:p>
    <w:p w14:paraId="76648F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1、须在中国境内注册，具有独立承担民事责任能力的法人或其他组织，具备有效的营业执照；</w:t>
      </w:r>
    </w:p>
    <w:p w14:paraId="6E1C5A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11"/>
          <w:rFonts w:hint="eastAsia" w:ascii="宋体" w:hAnsi="宋体" w:cs="宋体"/>
          <w:color w:val="auto"/>
          <w:sz w:val="24"/>
        </w:rPr>
        <w:t>2</w:t>
      </w:r>
      <w:r>
        <w:rPr>
          <w:rStyle w:val="11"/>
          <w:rFonts w:hint="eastAsia" w:ascii="宋体" w:hAnsi="宋体" w:cs="宋体"/>
          <w:color w:val="auto"/>
          <w:sz w:val="24"/>
          <w:highlight w:val="none"/>
        </w:rPr>
        <w:t>、</w:t>
      </w:r>
      <w:r>
        <w:rPr>
          <w:rStyle w:val="11"/>
          <w:rFonts w:hint="eastAsia" w:ascii="宋体" w:hAnsi="宋体" w:eastAsia="宋体" w:cs="宋体"/>
          <w:color w:val="auto"/>
          <w:sz w:val="24"/>
          <w:lang w:val="en-US" w:eastAsia="zh-CN"/>
        </w:rPr>
        <w:t>本项目投标人应为中国银行间市场交易商协会公布的“非金融企业债务融资工具承销机构名单”内的机构；证券类金融机构还需具备中国证券监督管理委员会颁发的《经营证券期货业务许可证》；</w:t>
      </w:r>
    </w:p>
    <w:p w14:paraId="1B9957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Style w:val="11"/>
          <w:rFonts w:hint="eastAsia" w:ascii="宋体" w:hAnsi="宋体" w:cs="宋体"/>
          <w:color w:val="auto"/>
          <w:sz w:val="24"/>
          <w:highlight w:val="none"/>
        </w:rPr>
        <w:t>3、投标人须为独立法人资格的金融机构或其分支机构；若为分支机构，则须提供总公司同意并授权分支机构参与</w:t>
      </w:r>
      <w:r>
        <w:rPr>
          <w:rStyle w:val="11"/>
          <w:rFonts w:hint="eastAsia" w:ascii="宋体" w:hAnsi="宋体" w:cs="宋体"/>
          <w:color w:val="auto"/>
          <w:sz w:val="24"/>
        </w:rPr>
        <w:t>本项目的唯一授权书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；</w:t>
      </w:r>
    </w:p>
    <w:p w14:paraId="62360F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4、投标人为完成本项目所组建的项目组执业人员无不良记录，无违法犯罪行为（投标人提供加盖单位公章的“中国执行信息公开网”查询截图）；</w:t>
      </w:r>
    </w:p>
    <w:p w14:paraId="6A04D2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5、投标人无以下不良信用信息记录</w:t>
      </w:r>
    </w:p>
    <w:p w14:paraId="586520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（1）被责令停业，暂扣或吊销执照，或吊销资质证书；</w:t>
      </w:r>
    </w:p>
    <w:p w14:paraId="493DA3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（2）进入清算程序，或被宣告破产，或其他丧失履约能力的情形；</w:t>
      </w:r>
    </w:p>
    <w:p w14:paraId="2616EC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（3）在国家企业信用信息公示系统中被列入严重违法失信企业名单（投标人提供加盖单位公章的“国家企业信用信息公示系统”查询截图）；</w:t>
      </w:r>
    </w:p>
    <w:p w14:paraId="0D1AA1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（4）在“信用中国”网站或“中国执行信息公开网”中被列入失信被执行人名单（投标人提供加盖单位公章的“信用中国”网站或“中国执行信息公开网”查询截图）；</w:t>
      </w:r>
    </w:p>
    <w:p w14:paraId="63ACFC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Style w:val="11"/>
          <w:rFonts w:ascii="宋体" w:hAnsi="宋体" w:cs="宋体"/>
          <w:sz w:val="24"/>
        </w:rPr>
      </w:pPr>
      <w:r>
        <w:rPr>
          <w:rStyle w:val="11"/>
          <w:rFonts w:hint="eastAsia" w:ascii="宋体" w:hAnsi="宋体" w:cs="宋体"/>
          <w:sz w:val="24"/>
        </w:rPr>
        <w:t>6、具有履行合同所必须的专业技术能力，并能提供优质的服务。</w:t>
      </w:r>
    </w:p>
    <w:p w14:paraId="6B42AF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7、具有良好的财务状况和商业信誉；</w:t>
      </w:r>
    </w:p>
    <w:p w14:paraId="6B84B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8、投标人之间存在下列互为关联关系 （国有控股公司除外）的情形之一的，不得同时参加本项目投标：</w:t>
      </w:r>
    </w:p>
    <w:p w14:paraId="4B4373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8.1法定代表人为同一人的两个及两个以上法人；</w:t>
      </w:r>
    </w:p>
    <w:p w14:paraId="7FA29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8.2母公司、直接或间接持股50%及以上的被投资公司；</w:t>
      </w:r>
    </w:p>
    <w:p w14:paraId="491A81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8.3均为同一家母公司直接或间接持股50%及以上的被投资公司；</w:t>
      </w:r>
    </w:p>
    <w:p w14:paraId="490BF8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8.4具有直接管理和被管理关系的母子公司，或同一母公司的子公司；</w:t>
      </w:r>
    </w:p>
    <w:p w14:paraId="075045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</w:rPr>
        <w:t>本项目</w:t>
      </w:r>
      <w:r>
        <w:rPr>
          <w:rFonts w:hint="eastAsia" w:ascii="宋体" w:hAnsi="宋体" w:eastAsia="宋体" w:cs="宋体"/>
          <w:sz w:val="24"/>
          <w:lang w:val="en-US" w:eastAsia="zh-CN"/>
        </w:rPr>
        <w:t>接受</w:t>
      </w:r>
      <w:r>
        <w:rPr>
          <w:rFonts w:hint="eastAsia" w:ascii="宋体" w:hAnsi="宋体" w:eastAsia="宋体" w:cs="宋体"/>
          <w:sz w:val="24"/>
        </w:rPr>
        <w:t>联合体投标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联合体各方数量不得超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家，以联合体牵头人名义响应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 w14:paraId="33B07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</w:rPr>
        <w:t>资格审查方式：资格后审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253789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三、获取招标文件</w:t>
      </w:r>
    </w:p>
    <w:p w14:paraId="5381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1、时间：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日—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前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（北京时间）。</w:t>
      </w:r>
    </w:p>
    <w:p w14:paraId="7A86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2、地点：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济宁市公共资源交易网（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https://jnggzy.jnzbtb.cn:4430/JiNing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）下载</w:t>
      </w:r>
    </w:p>
    <w:p w14:paraId="2834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3、方式：网上下载</w:t>
      </w:r>
    </w:p>
    <w:p w14:paraId="67D8FE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四、参与本项目与提交投标文件</w:t>
      </w:r>
    </w:p>
    <w:p w14:paraId="7B14981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凡未在济宁市公共资源交易服务中心注册的投标人应先办理注册（济宁市公共资源交易公共服务平台-用户注册-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其他交易</w:t>
      </w:r>
      <w:r>
        <w:rPr>
          <w:rFonts w:hint="eastAsia" w:ascii="宋体" w:hAnsi="宋体" w:eastAsia="宋体" w:cs="宋体"/>
          <w:color w:val="auto"/>
          <w:highlight w:val="none"/>
        </w:rPr>
        <w:t>）。所有项目全流程电子化并无任何纸质文件，所以注册后必须办理 CA 及电子签章，办理及系统操作咨询： 0537-7817075 、0537-6050123。已办理过注册及电子签章的投标人，登录系统，参与本项目。</w:t>
      </w:r>
    </w:p>
    <w:p w14:paraId="1B3C126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上传电子投标文件时间：所有电子投标文件应于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日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时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 xml:space="preserve"> 0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0分</w:t>
      </w:r>
      <w:r>
        <w:rPr>
          <w:rFonts w:hint="eastAsia" w:ascii="宋体" w:hAnsi="宋体" w:eastAsia="宋体" w:cs="宋体"/>
          <w:color w:val="auto"/>
          <w:highlight w:val="none"/>
        </w:rPr>
        <w:t>（北京时间）之前上传到济宁市公共资源交易公共服务平台。</w:t>
      </w:r>
    </w:p>
    <w:p w14:paraId="4913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五、解密时间</w:t>
      </w:r>
    </w:p>
    <w:p w14:paraId="065E0B5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1、时间：</w:t>
      </w:r>
      <w:r>
        <w:rPr>
          <w:rFonts w:hint="eastAsia" w:ascii="宋体" w:hAnsi="宋体" w:eastAsia="宋体" w:cs="宋体"/>
          <w:b/>
          <w:color w:val="auto"/>
          <w:highlight w:val="none"/>
        </w:rPr>
        <w:t>202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highlight w:val="none"/>
        </w:rPr>
        <w:t>月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color w:val="auto"/>
          <w:highlight w:val="none"/>
        </w:rPr>
        <w:t>日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/>
          <w:color w:val="auto"/>
          <w:highlight w:val="none"/>
        </w:rPr>
        <w:t>时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highlight w:val="none"/>
        </w:rPr>
        <w:t>0分以后</w:t>
      </w:r>
    </w:p>
    <w:p w14:paraId="0D25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 w:cs="宋体"/>
          <w:color w:val="auto"/>
          <w:sz w:val="24"/>
          <w:szCs w:val="24"/>
          <w:highlight w:val="none"/>
        </w:rPr>
        <w:t>投标人在开标前登陆不见面开标大厅，自主持人启动网上解密开始 20 分钟内使用 CA 进行解密，因投标人自身原因未能解密的电子投标文件将不予公开唱标及评审。</w:t>
      </w:r>
    </w:p>
    <w:p w14:paraId="6990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六、公告期限</w:t>
      </w:r>
    </w:p>
    <w:p w14:paraId="0639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560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七、其他补充事宜</w:t>
      </w:r>
    </w:p>
    <w:p w14:paraId="7998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</w:t>
      </w:r>
      <w:r>
        <w:rPr>
          <w:rFonts w:ascii="宋体" w:hAnsi="宋体" w:cs="宋体"/>
          <w:color w:val="auto"/>
          <w:sz w:val="24"/>
          <w:szCs w:val="24"/>
          <w:highlight w:val="none"/>
        </w:rPr>
        <w:t xml:space="preserve">必须同时在济宁市公共资源交易网注册,具体程序详见济宁市公共资源交易网-我要注册。 </w:t>
      </w:r>
    </w:p>
    <w:p w14:paraId="2638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 w:cs="宋体"/>
          <w:color w:val="auto"/>
          <w:sz w:val="24"/>
          <w:szCs w:val="24"/>
          <w:highlight w:val="none"/>
        </w:rPr>
        <w:t xml:space="preserve">2、招标文件在济宁市公共资源交易网发布，视作已发放给所有投标人（发布时间即为发出招标文件的时间），请各投标人在规定时间内及时下载招标文件。否则所造成的一切后果由投标人自负。 </w:t>
      </w:r>
    </w:p>
    <w:p w14:paraId="52D51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sz w:val="24"/>
          <w:szCs w:val="24"/>
          <w:highlight w:val="none"/>
        </w:rPr>
        <w:t>3、本项目如有必要澄清和修改需要发布更正公告的，将在同时在济宁市公共资源交易 网及时发布。请各潜在投标人及时关注相关信息。更正公告一旦发布即视为以书面形式通知所有潜在投标人。</w:t>
      </w:r>
    </w:p>
    <w:p w14:paraId="24430C0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24" w:firstLineChars="176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八、对本次招标提出询问，请按以下方式联系</w:t>
      </w:r>
    </w:p>
    <w:p w14:paraId="5E559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1、招标人信息</w:t>
      </w:r>
    </w:p>
    <w:p w14:paraId="0DC1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济宁城投控股集团有限公司</w:t>
      </w:r>
    </w:p>
    <w:p w14:paraId="2A1D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联系地址：</w:t>
      </w:r>
      <w:r>
        <w:rPr>
          <w:rFonts w:hint="eastAsia" w:ascii="宋体" w:hAnsi="宋体" w:cs="宋体"/>
          <w:kern w:val="0"/>
          <w:sz w:val="24"/>
          <w:szCs w:val="20"/>
        </w:rPr>
        <w:t>济宁市太白湖区文化产业园B座</w:t>
      </w:r>
    </w:p>
    <w:p w14:paraId="1C98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Style w:val="11"/>
          <w:rFonts w:hint="eastAsia" w:ascii="宋体" w:hAnsi="宋体" w:cs="宋体"/>
          <w:sz w:val="24"/>
        </w:rPr>
        <w:t xml:space="preserve">曹宁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</w:t>
      </w:r>
    </w:p>
    <w:p w14:paraId="129F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Style w:val="11"/>
          <w:rFonts w:hint="eastAsia" w:ascii="宋体" w:hAnsi="宋体" w:cs="宋体"/>
          <w:sz w:val="24"/>
        </w:rPr>
        <w:t>15505378728</w:t>
      </w:r>
    </w:p>
    <w:p w14:paraId="5350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2、招标代理机构信息</w:t>
      </w:r>
    </w:p>
    <w:p w14:paraId="221E7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名称：山东大嘉工程咨询有限公司</w:t>
      </w:r>
    </w:p>
    <w:p w14:paraId="4CE7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联系地址：济宁市建设北路133号建筑设计大楼25楼</w:t>
      </w:r>
    </w:p>
    <w:p w14:paraId="2AF2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联系人：王红</w:t>
      </w:r>
    </w:p>
    <w:p w14:paraId="348C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联系电话：18654799394</w:t>
      </w:r>
    </w:p>
    <w:p w14:paraId="769A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-20" w:firstLine="480" w:firstLineChars="200"/>
        <w:jc w:val="right"/>
        <w:textAlignment w:val="auto"/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日</w:t>
      </w:r>
    </w:p>
    <w:sectPr>
      <w:pgSz w:w="11906" w:h="16838"/>
      <w:pgMar w:top="1157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6579"/>
    <w:rsid w:val="2B595843"/>
    <w:rsid w:val="48EC5B2F"/>
    <w:rsid w:val="4A546579"/>
    <w:rsid w:val="54E30C7D"/>
    <w:rsid w:val="55DF0EB7"/>
    <w:rsid w:val="74AC7D5E"/>
    <w:rsid w:val="75287D2D"/>
    <w:rsid w:val="795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shd w:val="clear" w:color="auto" w:fill="auto"/>
      <w:spacing w:after="120"/>
      <w:ind w:left="420" w:leftChars="200" w:firstLine="420" w:firstLineChars="200"/>
      <w:jc w:val="both"/>
    </w:pPr>
    <w:rPr>
      <w:kern w:val="2"/>
      <w:sz w:val="21"/>
      <w:szCs w:val="21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5">
    <w:name w:val="Body Text First Indent"/>
    <w:basedOn w:val="6"/>
    <w:next w:val="7"/>
    <w:uiPriority w:val="0"/>
    <w:pPr>
      <w:tabs>
        <w:tab w:val="left" w:pos="420"/>
      </w:tabs>
      <w:spacing w:after="120"/>
      <w:ind w:firstLine="420" w:firstLineChars="100"/>
    </w:pPr>
    <w:rPr>
      <w:rFonts w:ascii="Times New Roman"/>
      <w:sz w:val="24"/>
      <w:szCs w:val="24"/>
    </w:rPr>
  </w:style>
  <w:style w:type="paragraph" w:styleId="6">
    <w:name w:val="Body Text"/>
    <w:basedOn w:val="1"/>
    <w:next w:val="1"/>
    <w:qFormat/>
    <w:uiPriority w:val="0"/>
    <w:rPr>
      <w:rFonts w:ascii="宋体"/>
      <w:kern w:val="0"/>
      <w:sz w:val="32"/>
      <w:szCs w:val="20"/>
    </w:rPr>
  </w:style>
  <w:style w:type="paragraph" w:styleId="7">
    <w:name w:val="toc 6"/>
    <w:basedOn w:val="1"/>
    <w:next w:val="1"/>
    <w:uiPriority w:val="0"/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1729</Words>
  <Characters>1869</Characters>
  <Lines>0</Lines>
  <Paragraphs>0</Paragraphs>
  <TotalTime>16</TotalTime>
  <ScaleCrop>false</ScaleCrop>
  <LinksUpToDate>false</LinksUpToDate>
  <CharactersWithSpaces>1889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2024-12-30T08:29:00Z</dcterms:created>
  <dc:creator>王大红</dc:creator>
  <cp:lastModifiedBy>王大红</cp:lastModifiedBy>
  <dcterms:modified xsi:type="dcterms:W3CDTF">2024-12-30T09:00:18Z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C2D520710B354756ACFEBB3FC091BEEF_11</vt:lpwstr>
  </property>
  <property fmtid="{D5CDD505-2E9C-101B-9397-08002B2CF9AE}" pid="4" name="KSOTemplateDocerSaveRecord">
    <vt:lpwstr>eyJoZGlkIjoiNmFlZTM5ZDUyMTU0YTc1NTg4NTk0YzhhYzBiN2NiN2QiLCJ1c2VySWQiOiIzMjc3MTUyODEifQ==</vt:lpwstr>
  </property>
</Properties>
</file>